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A3" w:rsidRPr="00C52DA3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                ROMÂNIA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F551E9" w:rsidRDefault="00F551E9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it-IT" w:eastAsia="ar-SA"/>
        </w:rPr>
      </w:pP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>DIRECŢIA DE ASISTENŢĂ SOCIALĂ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bCs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  <w:lang w:val="ro-RO" w:eastAsia="ro-RO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C52DA3" w:rsidRDefault="00C52DA3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Anexa  la  dispozitia</w:t>
      </w:r>
      <w:r w:rsidR="000C22D1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</w:t>
      </w:r>
      <w:r w:rsidR="003A1435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180</w:t>
      </w:r>
      <w:bookmarkStart w:id="0" w:name="_GoBack"/>
      <w:bookmarkEnd w:id="0"/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 din </w:t>
      </w:r>
      <w:r w:rsidR="008848A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</w:t>
      </w:r>
      <w:r w:rsidR="00451C5A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7</w:t>
      </w:r>
      <w:r w:rsidR="00EA013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.02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.202</w:t>
      </w:r>
      <w:r w:rsidR="00EA013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2</w:t>
      </w: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clasa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profesional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EA013F">
        <w:rPr>
          <w:rFonts w:ascii="Garamond" w:eastAsia="Times New Roman" w:hAnsi="Garamond" w:cs="Times New Roman"/>
          <w:b/>
          <w:color w:val="000000"/>
          <w:sz w:val="24"/>
          <w:szCs w:val="24"/>
        </w:rPr>
        <w:t>principal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publica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executie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vacanta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in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cadrul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Resurse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Umane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-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Compartimentul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in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03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CD1451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</w:t>
      </w: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are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concurs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funcţia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publică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consilier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asa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I, grad </w:t>
      </w:r>
      <w:proofErr w:type="spellStart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profesional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principal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universitare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absolvite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diplomă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echivalentă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domeniul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ştiinţelor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vechimea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</w:t>
      </w:r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>ilor</w:t>
      </w:r>
      <w:proofErr w:type="spellEnd"/>
      <w:r w:rsid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minimum 5</w:t>
      </w: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ani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D84ACB" w:rsidRDefault="00CD1451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F405DB" w:rsidRPr="00F405D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Salariul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publica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consilier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Times New Roman"/>
          <w:b/>
          <w:sz w:val="24"/>
          <w:szCs w:val="24"/>
        </w:rPr>
        <w:t>juridic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,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clasaI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r w:rsidR="00CD1451">
        <w:rPr>
          <w:rFonts w:ascii="Garamond" w:hAnsi="Garamond" w:cs="Times New Roman"/>
          <w:b/>
          <w:sz w:val="24"/>
          <w:szCs w:val="24"/>
        </w:rPr>
        <w:t>principal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</w:p>
    <w:p w:rsidR="00D84AC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405DB">
        <w:rPr>
          <w:rFonts w:ascii="Garamond" w:hAnsi="Garamond" w:cs="Times New Roman"/>
          <w:b/>
          <w:sz w:val="24"/>
          <w:szCs w:val="24"/>
        </w:rPr>
        <w:t xml:space="preserve">4440 lei la care se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adauga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in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munca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Bibliografia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1.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Constituţia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României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Titlul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II ale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părţii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VI-a din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urgenţă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57/2019,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3.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137/2000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prevenirea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sancţionarea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formelor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discriminare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4.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Legea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202/2002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egalitatea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şanse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tratament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între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femei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bărbaţi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5.Legea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24/2000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normele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tehnică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legislativă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elaborarea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6.Legea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134/2010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procedură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civilă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7.Legea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554/2004 a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contenciosului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8.Legea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287/2009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civil,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9.Ordonanţa</w:t>
      </w:r>
      <w:proofErr w:type="gram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Guvern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nr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2/2001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regimul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contravenţiilor</w:t>
      </w:r>
      <w:proofErr w:type="spellEnd"/>
      <w:r w:rsidRPr="00CD1451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CD1451" w:rsidRPr="00CD1451" w:rsidRDefault="00CD1451" w:rsidP="00CD14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CD1451" w:rsidRPr="00CD1451" w:rsidRDefault="00CD1451" w:rsidP="00CD145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proofErr w:type="spellStart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Tematica</w:t>
      </w:r>
      <w:proofErr w:type="spellEnd"/>
      <w:r w:rsidRPr="00CD1451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1.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Constituţia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României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din 21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noiembrie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1991,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2.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Titlul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II ale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părţii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VI-a din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urgenţă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Guvernului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57/2019, cu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modificările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completările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ulterioare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3.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202/2002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egalitatea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şanse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tratament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între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femei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bărbaţi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4. O.G.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137/2000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prevenirea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sancţionarea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tuturor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formelor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discriminare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5.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24/2000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normele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tehnică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legislativă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pentru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elaborarea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actelor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normative,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6.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134/2010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procedură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civilă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7.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554/2004 a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contenciosului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administrativ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8.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287/2009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civil,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CD1451" w:rsidRPr="00CD1451" w:rsidRDefault="00CD1451" w:rsidP="00CD1451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9.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nr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. 2/2001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regimul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juridic</w:t>
      </w:r>
      <w:proofErr w:type="spellEnd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al </w:t>
      </w:r>
      <w:proofErr w:type="spell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contravenţiilor</w:t>
      </w:r>
      <w:proofErr w:type="spellEnd"/>
      <w:proofErr w:type="gramStart"/>
      <w:r w:rsidRPr="00CD1451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..</w:t>
      </w:r>
      <w:proofErr w:type="gramEnd"/>
    </w:p>
    <w:p w:rsidR="00CD1451" w:rsidRDefault="00CD1451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C52DA3" w:rsidRDefault="00C52DA3" w:rsidP="00C52DA3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Atribuţiile</w:t>
      </w:r>
      <w:proofErr w:type="spellEnd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postu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lui</w:t>
      </w:r>
      <w:proofErr w:type="spellEnd"/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executiv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dreptului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opinii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aspectele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slujba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căreia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desfăşoară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atestă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identitatea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părţilor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conţinutului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datei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încheiate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trimise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reprezentării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documentele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emanate de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exprimă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interpretarea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cazul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unor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măsuri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luate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răspunsuri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adrese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sesizări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înregistrate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sediul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depune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termen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chemare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întămpinări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interogatorii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formulează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apeluri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recursuri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face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propuneri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promovarea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extraordinare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atac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aflate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rolul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care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parte;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gratuită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categoriilor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persoane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protejate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legislaţia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vigoare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serviciile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interesate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reprezintă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judecătoreşti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gradele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baza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delegaţie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furnizorii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externi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procedurilor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achizitii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publice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desfasurate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D.A.S. Alexandria;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intocmeste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rapoartele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proiecte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negociaza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clauzele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contractuale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aditionale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angajaţilor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aceştia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noile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aduse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CD1451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21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marti</w:t>
      </w:r>
      <w:r w:rsidR="008848AF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e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202</w:t>
      </w:r>
      <w:r w:rsidR="00F33AF8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2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data</w:t>
      </w:r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8848AF" w:rsidRDefault="008848AF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D1451" w:rsidRDefault="00CD1451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la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Nr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09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03</w:t>
      </w:r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</w:t>
      </w:r>
      <w:r w:rsidR="00CD145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49442B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formular</w:t>
      </w:r>
      <w:r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ul de inscriere </w:t>
      </w:r>
      <w:r w:rsidR="00C52DA3"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</w:t>
      </w:r>
      <w:r w:rsidR="00C52DA3" w:rsidRPr="0049442B">
        <w:rPr>
          <w:rFonts w:ascii="Garamond" w:eastAsia="Times New Roman" w:hAnsi="Garamond" w:cs="Tahoma"/>
          <w:sz w:val="24"/>
          <w:szCs w:val="24"/>
          <w:lang w:val="ro-RO" w:eastAsia="en-GB"/>
        </w:rPr>
        <w:t>Umane, Juridic);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copia actului de identitate sau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C52DA3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copii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le documentelor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Director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executiv</w:t>
      </w:r>
      <w:proofErr w:type="spellEnd"/>
      <w:proofErr w:type="gram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Doina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Nedea</w:t>
      </w:r>
      <w:proofErr w:type="spellEnd"/>
      <w:proofErr w:type="gramEnd"/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Sef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serviciu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Resurse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Umane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Juridic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  <w:t xml:space="preserve"> 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  </w:t>
      </w:r>
      <w:proofErr w:type="spellStart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>Erzec</w:t>
      </w:r>
      <w:proofErr w:type="spellEnd"/>
      <w:r w:rsidR="000963C2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Carmen</w:t>
      </w:r>
    </w:p>
    <w:sectPr w:rsidR="00C52DA3" w:rsidRPr="00C52DA3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A3"/>
    <w:rsid w:val="000963C2"/>
    <w:rsid w:val="000C22D1"/>
    <w:rsid w:val="001E63A9"/>
    <w:rsid w:val="002A5C01"/>
    <w:rsid w:val="003A1354"/>
    <w:rsid w:val="003A1435"/>
    <w:rsid w:val="00451C5A"/>
    <w:rsid w:val="00466C3E"/>
    <w:rsid w:val="0049442B"/>
    <w:rsid w:val="005F5D3E"/>
    <w:rsid w:val="00641107"/>
    <w:rsid w:val="00704D63"/>
    <w:rsid w:val="007134D2"/>
    <w:rsid w:val="008848AF"/>
    <w:rsid w:val="009B48A6"/>
    <w:rsid w:val="00A742FF"/>
    <w:rsid w:val="00B26AC1"/>
    <w:rsid w:val="00C52DA3"/>
    <w:rsid w:val="00CD1451"/>
    <w:rsid w:val="00CE35DF"/>
    <w:rsid w:val="00D84ACB"/>
    <w:rsid w:val="00E044DD"/>
    <w:rsid w:val="00EA013F"/>
    <w:rsid w:val="00F33AF8"/>
    <w:rsid w:val="00F405DB"/>
    <w:rsid w:val="00F52359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9C61-F2DA-4C78-B9D5-E7B18BE6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user1</cp:lastModifiedBy>
  <cp:revision>2</cp:revision>
  <cp:lastPrinted>2022-03-17T08:40:00Z</cp:lastPrinted>
  <dcterms:created xsi:type="dcterms:W3CDTF">2022-03-17T08:43:00Z</dcterms:created>
  <dcterms:modified xsi:type="dcterms:W3CDTF">2022-03-17T08:43:00Z</dcterms:modified>
</cp:coreProperties>
</file>